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4C46EEDF" w:rsidR="00943E0D" w:rsidRPr="00E9542A" w:rsidRDefault="000438E3" w:rsidP="00FA7295">
      <w:pPr>
        <w:numPr>
          <w:ilvl w:val="0"/>
          <w:numId w:val="1"/>
        </w:numPr>
        <w:spacing w:line="360" w:lineRule="auto"/>
        <w:rPr>
          <w:rFonts w:ascii="Arial" w:hAnsi="Arial" w:cs="Arial"/>
          <w:color w:val="808080"/>
          <w:sz w:val="20"/>
          <w:szCs w:val="20"/>
        </w:rPr>
      </w:pPr>
      <w:r>
        <w:rPr>
          <w:rFonts w:ascii="Arial" w:hAnsi="Arial"/>
          <w:color w:val="808080"/>
          <w:sz w:val="20"/>
          <w:szCs w:val="20"/>
        </w:rPr>
        <w:t>Compás abatible AVENTOS HK top con la comodidad de movimiento de SERVO-DRIVE</w:t>
      </w:r>
    </w:p>
    <w:p w14:paraId="01003DB3" w14:textId="0F4D772D" w:rsidR="00943E0D" w:rsidRPr="00E9542A" w:rsidRDefault="00F42F9B" w:rsidP="00FA7295">
      <w:pPr>
        <w:numPr>
          <w:ilvl w:val="0"/>
          <w:numId w:val="1"/>
        </w:numPr>
        <w:spacing w:line="360" w:lineRule="auto"/>
        <w:rPr>
          <w:rFonts w:ascii="Arial" w:hAnsi="Arial" w:cs="Arial"/>
          <w:color w:val="808080"/>
          <w:sz w:val="20"/>
          <w:szCs w:val="20"/>
        </w:rPr>
      </w:pPr>
      <w:r>
        <w:rPr>
          <w:rFonts w:ascii="Arial" w:hAnsi="Arial"/>
          <w:color w:val="808080"/>
          <w:sz w:val="20"/>
          <w:szCs w:val="20"/>
        </w:rPr>
        <w:t>Puerta y equipo de accionamiento con funciones innovadoras y tamaño pequeño</w:t>
      </w:r>
    </w:p>
    <w:p w14:paraId="4134F358" w14:textId="747A98B8" w:rsidR="003B6DB6" w:rsidRPr="00E9542A" w:rsidRDefault="00487C46" w:rsidP="00FA7295">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Disponible a nivel mundial a partir del otoño boreal de 2019</w:t>
      </w:r>
    </w:p>
    <w:p w14:paraId="0B11C7AB" w14:textId="2915B7B2" w:rsidR="00183A51" w:rsidRPr="00B15A7A" w:rsidRDefault="00183A51" w:rsidP="00FA7295">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10876177">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4F0FFEC9" w:rsidR="1CED830D" w:rsidRPr="00BC312E" w:rsidRDefault="000C00B7" w:rsidP="00FA7295">
      <w:pPr>
        <w:spacing w:line="360" w:lineRule="auto"/>
        <w:rPr>
          <w:rFonts w:ascii="Arial" w:hAnsi="Arial" w:cs="Arial"/>
          <w:b/>
          <w:bCs/>
          <w:sz w:val="28"/>
          <w:szCs w:val="28"/>
        </w:rPr>
      </w:pPr>
      <w:r>
        <w:rPr>
          <w:rFonts w:ascii="Arial" w:hAnsi="Arial"/>
          <w:b/>
          <w:bCs/>
          <w:sz w:val="28"/>
          <w:szCs w:val="28"/>
        </w:rPr>
        <w:t>Puerta nueva, movimiento con comodidad extraordinaria</w:t>
      </w:r>
    </w:p>
    <w:p w14:paraId="738416C4" w14:textId="16E0E2C2" w:rsidR="00183A51" w:rsidRPr="00E9542A" w:rsidRDefault="000857C7" w:rsidP="00FA7295">
      <w:pPr>
        <w:spacing w:line="360" w:lineRule="auto"/>
        <w:rPr>
          <w:rFonts w:ascii="Arial" w:hAnsi="Arial" w:cs="Arial"/>
          <w:b/>
          <w:bCs/>
        </w:rPr>
      </w:pPr>
      <w:r>
        <w:rPr>
          <w:rFonts w:ascii="Arial" w:hAnsi="Arial"/>
          <w:b/>
          <w:bCs/>
        </w:rPr>
        <w:t xml:space="preserve">AVENTOS HK top con sistema eléctrico de apertura asistida </w:t>
      </w:r>
    </w:p>
    <w:p w14:paraId="011C101F" w14:textId="77777777" w:rsidR="007B7737" w:rsidRDefault="007B7737" w:rsidP="00FA7295">
      <w:pPr>
        <w:spacing w:line="360" w:lineRule="auto"/>
        <w:rPr>
          <w:rFonts w:ascii="Arial" w:hAnsi="Arial" w:cs="Arial"/>
          <w:color w:val="000000" w:themeColor="text1"/>
          <w:sz w:val="20"/>
          <w:szCs w:val="20"/>
        </w:rPr>
      </w:pPr>
    </w:p>
    <w:p w14:paraId="2D6A5BC2" w14:textId="7108FE98" w:rsidR="00183A51" w:rsidRDefault="1CED830D" w:rsidP="00FA7295">
      <w:pPr>
        <w:spacing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 Austria, mayo de 2019.</w:t>
      </w:r>
      <w:r>
        <w:rPr>
          <w:rFonts w:ascii="Arial" w:hAnsi="Arial"/>
          <w:b/>
          <w:bCs/>
          <w:color w:val="000000" w:themeColor="text1"/>
          <w:sz w:val="20"/>
          <w:szCs w:val="20"/>
        </w:rPr>
        <w:t xml:space="preserve"> El compás abatible AVENTOS HK top es la última puerta de la familia AVENTOS. Con una unidad SERVO-DRIVE totalmente nueva, ofrece toda la comodidad posible para abrir y cerrar. A través de una forma pequeña y nuevas funciones para el montaje y la puesta en marcha, Blum ofrece un compás abatible minimalista y una tecnología de movimiento ideal para AVENTOS HK top.</w:t>
      </w:r>
    </w:p>
    <w:p w14:paraId="605E08EA" w14:textId="77777777" w:rsidR="00FA7295" w:rsidRPr="00BC312E" w:rsidRDefault="00FA7295" w:rsidP="00FA7295">
      <w:pPr>
        <w:spacing w:line="360" w:lineRule="auto"/>
        <w:rPr>
          <w:rFonts w:ascii="Arial" w:hAnsi="Arial" w:cs="Arial"/>
          <w:b/>
          <w:bCs/>
          <w:color w:val="000000" w:themeColor="text1"/>
          <w:sz w:val="20"/>
          <w:szCs w:val="20"/>
        </w:rPr>
      </w:pPr>
    </w:p>
    <w:p w14:paraId="1CB25AB1" w14:textId="1288F34B" w:rsidR="00FA2B5B" w:rsidRDefault="001D0F54" w:rsidP="00FA7295">
      <w:pPr>
        <w:spacing w:line="360" w:lineRule="auto"/>
        <w:rPr>
          <w:rFonts w:ascii="Arial" w:hAnsi="Arial" w:cs="Arial"/>
          <w:sz w:val="20"/>
          <w:szCs w:val="20"/>
        </w:rPr>
      </w:pPr>
      <w:r>
        <w:rPr>
          <w:rFonts w:ascii="Arial" w:hAnsi="Arial"/>
          <w:sz w:val="20"/>
          <w:szCs w:val="20"/>
        </w:rPr>
        <w:t>El AVENTOS HK top se destaca por su pequeño tamaño y numerosas funciones integradas. El nuevo compás abatible se monta cerca del panel superior del cuerpo y, gracias a su nuevo diseño rectilíneo, se integra de manera discreta en cualquier armario elevado o alto. El limitador de apertura instalado, el mecanismo de seguridad y el ajuste delantero del mecanismo de elevación, incluso con tapa montada, convierten al herraje en un verdadero todoterreno. Dos variantes de montaje, por un lado, con tornillos Euro preinstalados y, por el otro, con calibre de posicionamiento integrado, permiten una instalación sencilla y acorde al proceso de fabricación propio. Con una amplia gama de prestaciones y en combinación con EXPANDO T, AVENTOS HK top posibilita numerosas opciones de diseño. De este modo, se pueden utilizar puertas de diferentes tamaños, distintos materiales frontales y frentes con diversos espesores.</w:t>
      </w:r>
    </w:p>
    <w:p w14:paraId="2AEA4882" w14:textId="77777777" w:rsidR="00FA7295" w:rsidRPr="00AB3043" w:rsidRDefault="00FA7295" w:rsidP="00FA7295">
      <w:pPr>
        <w:spacing w:line="360" w:lineRule="auto"/>
        <w:rPr>
          <w:rFonts w:ascii="Arial" w:hAnsi="Arial" w:cs="Arial"/>
          <w:sz w:val="20"/>
          <w:szCs w:val="20"/>
          <w:lang w:val="en-US"/>
        </w:rPr>
      </w:pPr>
    </w:p>
    <w:p w14:paraId="043AF2F9" w14:textId="6EB0FFAA" w:rsidR="00FF73D3" w:rsidRDefault="00641A2E" w:rsidP="00FA7295">
      <w:pPr>
        <w:spacing w:line="360" w:lineRule="auto"/>
        <w:rPr>
          <w:rFonts w:ascii="Arial" w:hAnsi="Arial" w:cs="Arial"/>
          <w:sz w:val="20"/>
          <w:szCs w:val="20"/>
        </w:rPr>
      </w:pPr>
      <w:r>
        <w:rPr>
          <w:rFonts w:ascii="Arial" w:hAnsi="Arial"/>
          <w:b/>
          <w:sz w:val="20"/>
          <w:szCs w:val="20"/>
        </w:rPr>
        <w:t>Sistema eléctrico de apertura asistida renovado</w:t>
      </w:r>
      <w:r>
        <w:rPr>
          <w:rFonts w:ascii="Arial" w:hAnsi="Arial"/>
          <w:sz w:val="20"/>
          <w:szCs w:val="20"/>
        </w:rPr>
        <w:br/>
        <w:t xml:space="preserve">La tecnología de movimiento SERVO-DRIVE para AVENTOS HK top ofrece una apariencia rectilínea y útiles funciones. Un ligero contacto es suficiente para que las puertas se abran muy cómodamente. Y tan solo con presionar el conmutador remoto de fácil acceso en el cuerpo, el compás abatible vuelve a cerrarse de manera suave y silenciosa. El sistema de apertura asistida puramente eléctrico lo hace posible. Blum ha continuado desarrollando la tecnología de movimiento para AVENTOS HK top: La unidad SERVO-DRIVE es pequeña y desaparece de forma discreta hacia adentro del cuerpo junto con el mecanismo de elevación. Con tapas de 3 colores distintos, cada diseño de cuerpo dispone de una variante adecuada. El montaje se realiza sin herramientas mediante una sencilla fijación por clip. A continuación, las señales de las luces LED de colores conducen al usuario de manera totalmente intuitiva por la puesta en marcha y confirman el ajuste correcto del mecanismo de elevación. A partir del otoño boreal de 2019, AVENTOS HK top con SERVO-DRIVE estará disponible en todo el mundo. </w:t>
      </w:r>
    </w:p>
    <w:p w14:paraId="174D1518" w14:textId="032F08C6" w:rsidR="00FA7295" w:rsidRPr="00AB3043" w:rsidRDefault="00FA7295" w:rsidP="00FA7295">
      <w:pPr>
        <w:spacing w:line="360" w:lineRule="auto"/>
        <w:rPr>
          <w:rFonts w:ascii="Arial" w:hAnsi="Arial" w:cs="Arial"/>
          <w:sz w:val="20"/>
          <w:szCs w:val="20"/>
          <w:lang w:val="en-US"/>
        </w:rPr>
      </w:pPr>
    </w:p>
    <w:p w14:paraId="15BA141D" w14:textId="40879955" w:rsidR="00FA7295" w:rsidRDefault="00FA7295" w:rsidP="00AB6537">
      <w:pPr>
        <w:spacing w:line="360" w:lineRule="auto"/>
        <w:rPr>
          <w:rFonts w:ascii="Arial Hebrew Light" w:eastAsia="MS Mincho" w:hAnsi="Arial Hebrew Light" w:cs="ZIMBA_SARI_LIGHT"/>
          <w:sz w:val="20"/>
          <w:szCs w:val="20"/>
        </w:rPr>
      </w:pPr>
      <w:r>
        <w:rPr>
          <w:rFonts w:ascii="Arial" w:hAnsi="Arial"/>
          <w:sz w:val="18"/>
          <w:szCs w:val="18"/>
        </w:rPr>
        <w:t>Cantidad de caracteres: 2.5</w:t>
      </w:r>
      <w:r w:rsidR="00AB3043">
        <w:rPr>
          <w:rFonts w:ascii="Arial" w:hAnsi="Arial"/>
          <w:sz w:val="18"/>
          <w:szCs w:val="18"/>
        </w:rPr>
        <w:t>40</w:t>
      </w:r>
      <w:r>
        <w:rPr>
          <w:rFonts w:ascii="Arial" w:hAnsi="Arial"/>
          <w:sz w:val="18"/>
          <w:szCs w:val="18"/>
        </w:rPr>
        <w:t xml:space="preserve"> (incl. espacios en blanco), cantidad de palabras: 401</w:t>
      </w:r>
      <w:bookmarkStart w:id="0" w:name="_GoBack"/>
      <w:bookmarkEnd w:id="0"/>
      <w:r>
        <w:br w:type="page"/>
      </w:r>
    </w:p>
    <w:p w14:paraId="071F78D7" w14:textId="6C586225" w:rsidR="00183A51" w:rsidRDefault="00183A51" w:rsidP="00FA7295">
      <w:pPr>
        <w:autoSpaceDE w:val="0"/>
        <w:autoSpaceDN w:val="0"/>
        <w:adjustRightInd w:val="0"/>
        <w:rPr>
          <w:rStyle w:val="Hyperlink"/>
          <w:rFonts w:ascii="Arial Hebrew Light" w:eastAsia="MS Mincho" w:hAnsi="Arial Hebrew Light" w:cs="ZIMBA_SARI_LIGHT"/>
          <w:sz w:val="20"/>
          <w:szCs w:val="20"/>
        </w:rPr>
      </w:pPr>
      <w:r w:rsidRPr="00224453">
        <w:rPr>
          <w:rFonts w:ascii="Arial" w:hAnsi="Arial" w:cs="Arial"/>
          <w:b/>
          <w:noProof/>
          <w:sz w:val="28"/>
          <w:szCs w:val="28"/>
        </w:rPr>
        <w:lastRenderedPageBreak/>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https://www.blum.com/es/es/</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7FB9A31B" w14:textId="77777777" w:rsidR="00FA7295" w:rsidRPr="00FA7295" w:rsidRDefault="00FA7295" w:rsidP="00FA7295">
      <w:pPr>
        <w:autoSpaceDE w:val="0"/>
        <w:autoSpaceDN w:val="0"/>
        <w:adjustRightInd w:val="0"/>
        <w:spacing w:line="360" w:lineRule="auto"/>
        <w:rPr>
          <w:rFonts w:ascii="Arial" w:hAnsi="Arial" w:cs="Arial"/>
          <w:sz w:val="20"/>
          <w:szCs w:val="20"/>
          <w:lang w:eastAsia="de-AT"/>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5502C50A" w:rsidR="00183A51" w:rsidRPr="00C85871" w:rsidRDefault="00AE4F20" w:rsidP="00FA7295">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3ADD734B" wp14:editId="44B4C2F4">
                  <wp:extent cx="2160000" cy="1661824"/>
                  <wp:effectExtent l="0" t="0" r="0" b="0"/>
                  <wp:docPr id="1" name="Grafik 1" descr="\\net.blum\dfs\Projects\DTPCMP\DTP_CMP\DBFiles2002\BAU\FO\AA\KLA0621_AA_FOT_FO_BAU_#SALL_#AMC_#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t.blum\dfs\Projects\DTPCMP\DTP_CMP\DBFiles2002\BAU\FO\AA\KLA0621_AA_FOT_FO_BAU_#SALL_#AMC_#V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60000" cy="1661824"/>
                          </a:xfrm>
                          <a:prstGeom prst="rect">
                            <a:avLst/>
                          </a:prstGeom>
                          <a:noFill/>
                          <a:ln>
                            <a:noFill/>
                          </a:ln>
                        </pic:spPr>
                      </pic:pic>
                    </a:graphicData>
                  </a:graphic>
                </wp:inline>
              </w:drawing>
            </w:r>
          </w:p>
        </w:tc>
        <w:tc>
          <w:tcPr>
            <w:tcW w:w="4206" w:type="dxa"/>
            <w:shd w:val="clear" w:color="auto" w:fill="auto"/>
          </w:tcPr>
          <w:p w14:paraId="7810D1B1" w14:textId="03215DB8" w:rsidR="00E627BD" w:rsidRDefault="00183A51" w:rsidP="00FA7295">
            <w:pPr>
              <w:spacing w:line="360" w:lineRule="auto"/>
              <w:rPr>
                <w:rFonts w:ascii="Arial" w:hAnsi="Arial" w:cs="Arial"/>
                <w:color w:val="000000"/>
                <w:sz w:val="18"/>
                <w:szCs w:val="18"/>
              </w:rPr>
            </w:pPr>
            <w:r>
              <w:rPr>
                <w:rFonts w:ascii="Arial" w:hAnsi="Arial"/>
                <w:color w:val="000000"/>
                <w:sz w:val="18"/>
                <w:szCs w:val="18"/>
              </w:rPr>
              <w:t>(Imagen: Blum_KLA0621)</w:t>
            </w:r>
          </w:p>
          <w:p w14:paraId="38685872" w14:textId="39F049E3" w:rsidR="00183A51" w:rsidRPr="00E9542A" w:rsidRDefault="00487C46" w:rsidP="00FA7295">
            <w:pPr>
              <w:spacing w:line="360" w:lineRule="auto"/>
              <w:rPr>
                <w:rFonts w:ascii="Arial" w:hAnsi="Arial" w:cs="Arial"/>
                <w:color w:val="000000"/>
                <w:sz w:val="18"/>
                <w:szCs w:val="18"/>
              </w:rPr>
            </w:pPr>
            <w:r>
              <w:rPr>
                <w:rFonts w:ascii="Arial" w:hAnsi="Arial"/>
                <w:color w:val="000000"/>
                <w:sz w:val="18"/>
                <w:szCs w:val="18"/>
              </w:rPr>
              <w:t xml:space="preserve">Formato pequeño, nuevas funciones: Con SERVO-DRIVE, Blum ofrece un alto nivel de confort para el nuevo compás abatible AVENTOS HK top </w:t>
            </w:r>
          </w:p>
        </w:tc>
      </w:tr>
    </w:tbl>
    <w:p w14:paraId="42C8DED5" w14:textId="1A21E328" w:rsidR="00183A51" w:rsidRDefault="00183A51" w:rsidP="00FA7295">
      <w:pPr>
        <w:spacing w:line="360" w:lineRule="auto"/>
        <w:rPr>
          <w:rFonts w:ascii="Arial" w:hAnsi="Arial" w:cs="Arial"/>
          <w:sz w:val="18"/>
          <w:szCs w:val="18"/>
        </w:rPr>
      </w:pPr>
      <w:r>
        <w:rPr>
          <w:rFonts w:ascii="Arial" w:hAnsi="Arial"/>
          <w:b/>
          <w:sz w:val="18"/>
          <w:szCs w:val="18"/>
        </w:rPr>
        <w:t>Referencia:</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2019_Aventos HK top </w:t>
      </w:r>
      <w:proofErr w:type="spellStart"/>
      <w:r>
        <w:rPr>
          <w:rFonts w:ascii="Arial" w:hAnsi="Arial"/>
          <w:sz w:val="18"/>
          <w:szCs w:val="18"/>
        </w:rPr>
        <w:t>mit</w:t>
      </w:r>
      <w:proofErr w:type="spellEnd"/>
      <w:r>
        <w:rPr>
          <w:rFonts w:ascii="Arial" w:hAnsi="Arial"/>
          <w:sz w:val="18"/>
          <w:szCs w:val="18"/>
        </w:rPr>
        <w:t xml:space="preserve"> Servo-Drive</w:t>
      </w:r>
    </w:p>
    <w:p w14:paraId="6FAC0CA7" w14:textId="77777777" w:rsidR="00FA7295" w:rsidRDefault="00FA7295" w:rsidP="00FA7295">
      <w:pPr>
        <w:spacing w:line="360" w:lineRule="auto"/>
        <w:rPr>
          <w:rFonts w:ascii="Arial" w:hAnsi="Arial" w:cs="Arial"/>
          <w:b/>
          <w:bCs/>
          <w:sz w:val="20"/>
          <w:szCs w:val="20"/>
        </w:rPr>
      </w:pPr>
    </w:p>
    <w:p w14:paraId="2F197629" w14:textId="6A5C3D64" w:rsidR="00183A51" w:rsidRDefault="00183A51" w:rsidP="00FA7295">
      <w:pPr>
        <w:spacing w:line="360" w:lineRule="auto"/>
        <w:rPr>
          <w:rFonts w:ascii="Arial" w:hAnsi="Arial" w:cs="Arial"/>
          <w:b/>
          <w:bCs/>
          <w:sz w:val="20"/>
          <w:szCs w:val="20"/>
        </w:rPr>
      </w:pPr>
      <w:r>
        <w:rPr>
          <w:rFonts w:ascii="Arial" w:hAnsi="Arial"/>
          <w:b/>
          <w:bCs/>
          <w:sz w:val="20"/>
          <w:szCs w:val="20"/>
        </w:rPr>
        <w:t>Sus personas de contacto para consultas:</w:t>
      </w:r>
    </w:p>
    <w:p w14:paraId="7ED6C221" w14:textId="63C5262D" w:rsidR="00183A51" w:rsidRDefault="3877935C" w:rsidP="00FA7295">
      <w:pPr>
        <w:spacing w:line="360" w:lineRule="auto"/>
        <w:rPr>
          <w:rFonts w:ascii="Arial" w:hAnsi="Arial" w:cs="Arial"/>
          <w:sz w:val="20"/>
          <w:szCs w:val="20"/>
        </w:rPr>
      </w:pPr>
      <w:r>
        <w:rPr>
          <w:rFonts w:ascii="Arial" w:hAnsi="Arial"/>
          <w:sz w:val="20"/>
          <w:szCs w:val="20"/>
        </w:rPr>
        <w:t xml:space="preserve">Stefan Baumann: T +43 5578 705-2605; C </w:t>
      </w:r>
      <w:hyperlink r:id="rId19">
        <w:r>
          <w:rPr>
            <w:rStyle w:val="Hyperlink"/>
            <w:rFonts w:ascii="Arial" w:hAnsi="Arial"/>
            <w:sz w:val="20"/>
            <w:szCs w:val="20"/>
          </w:rPr>
          <w:t>presseinfo@blum.com</w:t>
        </w:r>
      </w:hyperlink>
    </w:p>
    <w:p w14:paraId="0FE277E2" w14:textId="77777777" w:rsidR="00183A51" w:rsidRPr="00224453" w:rsidRDefault="00183A51" w:rsidP="00FA7295">
      <w:pPr>
        <w:spacing w:line="360" w:lineRule="auto"/>
        <w:rPr>
          <w:rFonts w:ascii="Arial" w:hAnsi="Arial" w:cs="Arial"/>
          <w:sz w:val="20"/>
          <w:szCs w:val="20"/>
        </w:rPr>
      </w:pPr>
      <w:r>
        <w:rPr>
          <w:rFonts w:ascii="Arial" w:hAnsi="Arial"/>
          <w:sz w:val="20"/>
          <w:szCs w:val="20"/>
        </w:rPr>
        <w:t xml:space="preserve">Julius Blum </w:t>
      </w:r>
      <w:proofErr w:type="spellStart"/>
      <w:r>
        <w:rPr>
          <w:rFonts w:ascii="Arial" w:hAnsi="Arial"/>
          <w:sz w:val="20"/>
          <w:szCs w:val="20"/>
        </w:rPr>
        <w:t>GmbH</w:t>
      </w:r>
      <w:proofErr w:type="spellEnd"/>
      <w:r>
        <w:rPr>
          <w:rFonts w:ascii="Arial" w:hAnsi="Arial"/>
          <w:sz w:val="20"/>
          <w:szCs w:val="20"/>
        </w:rPr>
        <w:br/>
      </w:r>
      <w:proofErr w:type="spellStart"/>
      <w:r>
        <w:rPr>
          <w:rFonts w:ascii="Arial" w:hAnsi="Arial"/>
          <w:sz w:val="20"/>
          <w:szCs w:val="20"/>
        </w:rPr>
        <w:t>Industriestr</w:t>
      </w:r>
      <w:proofErr w:type="spellEnd"/>
      <w:r>
        <w:rPr>
          <w:rFonts w:ascii="Arial" w:hAnsi="Arial"/>
          <w:sz w:val="20"/>
          <w:szCs w:val="20"/>
        </w:rPr>
        <w:t>. 1</w:t>
      </w:r>
      <w:r>
        <w:rPr>
          <w:rFonts w:ascii="Arial" w:hAnsi="Arial"/>
          <w:sz w:val="20"/>
          <w:szCs w:val="20"/>
        </w:rPr>
        <w:br/>
        <w:t xml:space="preserve">6973 </w:t>
      </w:r>
      <w:proofErr w:type="spellStart"/>
      <w:r>
        <w:rPr>
          <w:rFonts w:ascii="Arial" w:hAnsi="Arial"/>
          <w:sz w:val="20"/>
          <w:szCs w:val="20"/>
        </w:rPr>
        <w:t>Höchst</w:t>
      </w:r>
      <w:proofErr w:type="spellEnd"/>
      <w:r>
        <w:rPr>
          <w:rFonts w:ascii="Arial" w:hAnsi="Arial"/>
          <w:sz w:val="20"/>
          <w:szCs w:val="20"/>
        </w:rPr>
        <w:t>/Austria</w:t>
      </w:r>
      <w:bookmarkStart w:id="1" w:name="_Hlk516056811"/>
    </w:p>
    <w:p w14:paraId="40DA191B" w14:textId="77777777" w:rsidR="00FA7295" w:rsidRDefault="00FA7295" w:rsidP="00FA7295">
      <w:pPr>
        <w:spacing w:line="360" w:lineRule="auto"/>
        <w:rPr>
          <w:rFonts w:ascii="Arial" w:hAnsi="Arial" w:cs="Arial"/>
          <w:b/>
          <w:sz w:val="20"/>
          <w:szCs w:val="20"/>
        </w:rPr>
      </w:pPr>
    </w:p>
    <w:p w14:paraId="7E1DD15F" w14:textId="366E4F04" w:rsidR="00183A51" w:rsidRDefault="00183A51" w:rsidP="00FA7295">
      <w:pPr>
        <w:spacing w:line="360" w:lineRule="auto"/>
        <w:rPr>
          <w:rFonts w:ascii="Arial" w:hAnsi="Arial" w:cs="Arial"/>
          <w:color w:val="0000FF"/>
          <w:spacing w:val="3"/>
          <w:sz w:val="20"/>
          <w:szCs w:val="20"/>
          <w:u w:val="single"/>
        </w:rPr>
      </w:pPr>
      <w:r>
        <w:rPr>
          <w:rFonts w:ascii="Arial" w:hAnsi="Arial"/>
          <w:b/>
          <w:sz w:val="20"/>
          <w:szCs w:val="20"/>
        </w:rPr>
        <w:t>Para más notas de prensa y carpetas de prensa digitales</w:t>
      </w:r>
      <w:r>
        <w:rPr>
          <w:rFonts w:ascii="Arial" w:hAnsi="Arial"/>
          <w:sz w:val="20"/>
          <w:szCs w:val="20"/>
        </w:rPr>
        <w:t>, ingrese a</w:t>
      </w:r>
      <w:r>
        <w:rPr>
          <w:rFonts w:ascii="Arial" w:hAnsi="Arial"/>
          <w:b/>
          <w:sz w:val="20"/>
          <w:szCs w:val="20"/>
        </w:rPr>
        <w:t xml:space="preserve"> </w:t>
      </w:r>
      <w:hyperlink r:id="rId20" w:history="1">
        <w:r>
          <w:rPr>
            <w:rStyle w:val="Hyperlink"/>
            <w:rFonts w:ascii="Arial" w:hAnsi="Arial"/>
            <w:sz w:val="20"/>
            <w:szCs w:val="20"/>
          </w:rPr>
          <w:t>https://www.blum.com/es/es/company/press/</w:t>
        </w:r>
      </w:hyperlink>
    </w:p>
    <w:p w14:paraId="07EE3002" w14:textId="77777777" w:rsidR="00FA7295" w:rsidRDefault="00FA7295" w:rsidP="00FA7295">
      <w:pPr>
        <w:spacing w:line="360" w:lineRule="auto"/>
        <w:rPr>
          <w:rFonts w:ascii="Arial" w:hAnsi="Arial" w:cs="Arial"/>
          <w:b/>
          <w:sz w:val="20"/>
          <w:szCs w:val="20"/>
        </w:rPr>
      </w:pPr>
    </w:p>
    <w:p w14:paraId="58F61329" w14:textId="57B46F61" w:rsidR="00183A51" w:rsidRDefault="00183A51" w:rsidP="00FA7295">
      <w:pPr>
        <w:spacing w:line="360" w:lineRule="auto"/>
        <w:rPr>
          <w:rFonts w:ascii="Arial" w:hAnsi="Arial" w:cs="Arial"/>
          <w:sz w:val="20"/>
          <w:szCs w:val="20"/>
        </w:rPr>
      </w:pPr>
      <w:r>
        <w:rPr>
          <w:rFonts w:ascii="Arial" w:hAnsi="Arial"/>
          <w:b/>
          <w:sz w:val="20"/>
          <w:szCs w:val="20"/>
        </w:rPr>
        <w:t>Imágenes:</w:t>
      </w:r>
      <w:r>
        <w:rPr>
          <w:rFonts w:ascii="Arial" w:hAnsi="Arial"/>
          <w:sz w:val="20"/>
          <w:szCs w:val="20"/>
        </w:rPr>
        <w:t xml:space="preserve"> Para publicaciones gratuitas, por favor indicar el origen de las imágenes</w:t>
      </w:r>
      <w:bookmarkEnd w:id="1"/>
    </w:p>
    <w:p w14:paraId="4021ADFC" w14:textId="77777777" w:rsidR="00FA7295" w:rsidRDefault="00FA7295" w:rsidP="00FA7295">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 xml:space="preserve">Fabricación y venta de herrajes para muebles: </w:t>
            </w:r>
          </w:p>
          <w:p w14:paraId="553A8B12" w14:textId="77777777" w:rsidR="00183A51" w:rsidRPr="006D1653" w:rsidRDefault="00183A51" w:rsidP="00FA7295">
            <w:pPr>
              <w:spacing w:line="360" w:lineRule="auto"/>
              <w:rPr>
                <w:rFonts w:ascii="Arial" w:hAnsi="Arial" w:cs="Arial"/>
                <w:b/>
                <w:sz w:val="20"/>
                <w:szCs w:val="20"/>
              </w:rPr>
            </w:pPr>
            <w:r>
              <w:rPr>
                <w:rFonts w:ascii="Arial" w:hAnsi="Arial"/>
                <w:sz w:val="20"/>
                <w:szCs w:val="20"/>
              </w:rPr>
              <w:t>Sistemas de puertas, bisagras, de extracción y tecnologías de movimiento, complementados con ayudas de montaje e E-</w:t>
            </w:r>
            <w:proofErr w:type="spellStart"/>
            <w:r>
              <w:rPr>
                <w:rFonts w:ascii="Arial" w:hAnsi="Arial"/>
                <w:sz w:val="20"/>
                <w:szCs w:val="20"/>
              </w:rPr>
              <w:t>Services</w:t>
            </w:r>
            <w:proofErr w:type="spellEnd"/>
          </w:p>
          <w:p w14:paraId="41F62441"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 xml:space="preserve">Centros de producción: </w:t>
            </w:r>
            <w:r>
              <w:rPr>
                <w:rFonts w:ascii="Arial" w:hAnsi="Arial"/>
                <w:sz w:val="20"/>
                <w:szCs w:val="20"/>
              </w:rPr>
              <w:t>8 fábricas en Vorarlberg</w:t>
            </w:r>
            <w:r>
              <w:rPr>
                <w:rFonts w:ascii="Arial" w:hAnsi="Arial"/>
                <w:b/>
                <w:sz w:val="20"/>
                <w:szCs w:val="20"/>
              </w:rPr>
              <w:t xml:space="preserve">, </w:t>
            </w:r>
            <w:r>
              <w:rPr>
                <w:rFonts w:ascii="Arial" w:hAnsi="Arial"/>
                <w:sz w:val="20"/>
                <w:szCs w:val="20"/>
              </w:rPr>
              <w:t>y otras en EE. UU., Brasil y Polonia</w:t>
            </w:r>
          </w:p>
          <w:p w14:paraId="1AD9AEFA"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Colaboradores:</w:t>
            </w:r>
            <w:r>
              <w:rPr>
                <w:rFonts w:ascii="Arial" w:hAnsi="Arial"/>
                <w:sz w:val="20"/>
                <w:szCs w:val="20"/>
              </w:rPr>
              <w:t xml:space="preserve"> 7.600 a nivel mundial, 5.800 en Vorarlberg</w:t>
            </w:r>
          </w:p>
          <w:p w14:paraId="2C1A6CBC" w14:textId="77777777" w:rsidR="00183A51" w:rsidRPr="006D1653" w:rsidRDefault="00183A51" w:rsidP="00FA7295">
            <w:pPr>
              <w:spacing w:line="360" w:lineRule="auto"/>
              <w:rPr>
                <w:rFonts w:ascii="Arial" w:hAnsi="Arial" w:cs="Arial"/>
                <w:sz w:val="20"/>
                <w:szCs w:val="20"/>
              </w:rPr>
            </w:pPr>
            <w:r>
              <w:rPr>
                <w:rFonts w:ascii="Arial" w:hAnsi="Arial"/>
                <w:b/>
                <w:sz w:val="20"/>
                <w:szCs w:val="20"/>
              </w:rPr>
              <w:t xml:space="preserve">Volumen de ventas en el año fiscal 2017/2018: </w:t>
            </w:r>
            <w:r>
              <w:rPr>
                <w:rFonts w:ascii="Arial" w:hAnsi="Arial"/>
                <w:sz w:val="20"/>
                <w:szCs w:val="20"/>
              </w:rPr>
              <w:t>1.839,42 millones de euros</w:t>
            </w:r>
          </w:p>
          <w:p w14:paraId="0CCA3FD1"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Volumen de ventas en el extranjero:</w:t>
            </w:r>
            <w:r>
              <w:rPr>
                <w:rFonts w:ascii="Arial" w:hAnsi="Arial"/>
                <w:sz w:val="20"/>
                <w:szCs w:val="20"/>
              </w:rPr>
              <w:t xml:space="preserve"> 97 %</w:t>
            </w:r>
          </w:p>
          <w:p w14:paraId="45FEEE65" w14:textId="77777777" w:rsidR="00183A51" w:rsidRPr="006D1653" w:rsidRDefault="00183A51" w:rsidP="00FA7295">
            <w:pPr>
              <w:spacing w:line="360" w:lineRule="auto"/>
              <w:rPr>
                <w:rFonts w:ascii="Arial" w:hAnsi="Arial" w:cs="Arial"/>
                <w:sz w:val="20"/>
                <w:szCs w:val="20"/>
              </w:rPr>
            </w:pPr>
            <w:r>
              <w:rPr>
                <w:rFonts w:ascii="Arial" w:hAnsi="Arial"/>
                <w:b/>
                <w:sz w:val="20"/>
                <w:szCs w:val="20"/>
              </w:rPr>
              <w:t>Filiales o representaciones:</w:t>
            </w:r>
            <w:r>
              <w:rPr>
                <w:rFonts w:ascii="Arial" w:hAnsi="Arial"/>
                <w:sz w:val="20"/>
                <w:szCs w:val="20"/>
              </w:rPr>
              <w:t xml:space="preserve"> 30 </w:t>
            </w:r>
          </w:p>
          <w:p w14:paraId="600C7EBE" w14:textId="77777777" w:rsidR="00183A51" w:rsidRPr="006D1653" w:rsidRDefault="00183A51" w:rsidP="00FA7295">
            <w:pPr>
              <w:spacing w:line="360" w:lineRule="auto"/>
              <w:rPr>
                <w:rFonts w:ascii="Arial" w:hAnsi="Arial" w:cs="Arial"/>
                <w:sz w:val="20"/>
                <w:szCs w:val="20"/>
              </w:rPr>
            </w:pPr>
            <w:r>
              <w:rPr>
                <w:rFonts w:ascii="Arial" w:hAnsi="Arial"/>
                <w:b/>
                <w:sz w:val="20"/>
                <w:szCs w:val="20"/>
              </w:rPr>
              <w:t>Mercados abastecidos a nivel mundial:</w:t>
            </w:r>
            <w:r>
              <w:rPr>
                <w:rFonts w:ascii="Arial" w:hAnsi="Arial"/>
                <w:sz w:val="20"/>
                <w:szCs w:val="20"/>
              </w:rPr>
              <w:t xml:space="preserve"> más de 120 </w:t>
            </w:r>
          </w:p>
          <w:p w14:paraId="5A6727FF" w14:textId="77777777" w:rsidR="00183A51" w:rsidRPr="006D1653" w:rsidRDefault="00183A51" w:rsidP="00FA7295">
            <w:pPr>
              <w:spacing w:line="360" w:lineRule="auto"/>
              <w:rPr>
                <w:rFonts w:ascii="Arial" w:hAnsi="Arial" w:cs="Arial"/>
                <w:i/>
                <w:sz w:val="20"/>
                <w:szCs w:val="20"/>
              </w:rPr>
            </w:pPr>
            <w:r>
              <w:rPr>
                <w:rFonts w:ascii="Arial" w:hAnsi="Arial"/>
                <w:i/>
                <w:sz w:val="20"/>
                <w:szCs w:val="20"/>
              </w:rPr>
              <w:t>Versión: 1° de julio de 2018</w:t>
            </w:r>
          </w:p>
        </w:tc>
      </w:tr>
    </w:tbl>
    <w:p w14:paraId="4F94C94F" w14:textId="77777777" w:rsidR="00183A51" w:rsidRPr="00BD0F42" w:rsidRDefault="00183A51" w:rsidP="00FA7295">
      <w:pPr>
        <w:spacing w:line="360" w:lineRule="auto"/>
        <w:rPr>
          <w:rFonts w:ascii="Arial" w:hAnsi="Arial" w:cs="Arial"/>
          <w:sz w:val="18"/>
          <w:szCs w:val="18"/>
          <w:lang w:val="en-US"/>
        </w:rPr>
      </w:pPr>
    </w:p>
    <w:p w14:paraId="4E47C1E7" w14:textId="6E5AE8D4" w:rsidR="007F5A72" w:rsidRDefault="007F5A72" w:rsidP="00FA7295">
      <w:pPr>
        <w:spacing w:line="360" w:lineRule="auto"/>
      </w:pPr>
    </w:p>
    <w:sectPr w:rsidR="007F5A72" w:rsidSect="001F4865">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45AC0" w14:textId="77777777" w:rsidR="00435747" w:rsidRDefault="00435747">
      <w:r>
        <w:separator/>
      </w:r>
    </w:p>
  </w:endnote>
  <w:endnote w:type="continuationSeparator" w:id="0">
    <w:p w14:paraId="6BDF325A" w14:textId="77777777" w:rsidR="00435747" w:rsidRDefault="00435747">
      <w:r>
        <w:continuationSeparator/>
      </w:r>
    </w:p>
  </w:endnote>
  <w:endnote w:type="continuationNotice" w:id="1">
    <w:p w14:paraId="25CCABDD" w14:textId="77777777" w:rsidR="00435747" w:rsidRDefault="00435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05C03" w14:textId="77777777" w:rsidR="00435747" w:rsidRDefault="00435747">
      <w:r>
        <w:separator/>
      </w:r>
    </w:p>
  </w:footnote>
  <w:footnote w:type="continuationSeparator" w:id="0">
    <w:p w14:paraId="3761F19F" w14:textId="77777777" w:rsidR="00435747" w:rsidRDefault="00435747">
      <w:r>
        <w:continuationSeparator/>
      </w:r>
    </w:p>
  </w:footnote>
  <w:footnote w:type="continuationNotice" w:id="1">
    <w:p w14:paraId="7FFB5A04" w14:textId="77777777" w:rsidR="00435747" w:rsidRDefault="004357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AB6537"/>
  <w:p w14:paraId="68F710B3" w14:textId="77777777" w:rsidR="009D77BA" w:rsidRDefault="00AB65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2624C"/>
    <w:rsid w:val="00027513"/>
    <w:rsid w:val="0003529C"/>
    <w:rsid w:val="000375AD"/>
    <w:rsid w:val="00040097"/>
    <w:rsid w:val="000438E3"/>
    <w:rsid w:val="00043E34"/>
    <w:rsid w:val="00051953"/>
    <w:rsid w:val="00052FFD"/>
    <w:rsid w:val="000600EA"/>
    <w:rsid w:val="00066B16"/>
    <w:rsid w:val="00072927"/>
    <w:rsid w:val="000742C0"/>
    <w:rsid w:val="00074711"/>
    <w:rsid w:val="000857C7"/>
    <w:rsid w:val="000A4760"/>
    <w:rsid w:val="000A7B3D"/>
    <w:rsid w:val="000B2FEE"/>
    <w:rsid w:val="000C00B7"/>
    <w:rsid w:val="000C31FE"/>
    <w:rsid w:val="000C3647"/>
    <w:rsid w:val="000C7E21"/>
    <w:rsid w:val="000E31DD"/>
    <w:rsid w:val="000F0B78"/>
    <w:rsid w:val="000F1553"/>
    <w:rsid w:val="000F3844"/>
    <w:rsid w:val="000F787F"/>
    <w:rsid w:val="00101BA1"/>
    <w:rsid w:val="00114FB9"/>
    <w:rsid w:val="00116725"/>
    <w:rsid w:val="001208DE"/>
    <w:rsid w:val="00137B64"/>
    <w:rsid w:val="00154180"/>
    <w:rsid w:val="00155ADC"/>
    <w:rsid w:val="001569A9"/>
    <w:rsid w:val="001571B2"/>
    <w:rsid w:val="00177372"/>
    <w:rsid w:val="0018038F"/>
    <w:rsid w:val="00182BFF"/>
    <w:rsid w:val="00183A51"/>
    <w:rsid w:val="00186C75"/>
    <w:rsid w:val="00194E99"/>
    <w:rsid w:val="001A06E8"/>
    <w:rsid w:val="001A0B82"/>
    <w:rsid w:val="001A3A73"/>
    <w:rsid w:val="001A462B"/>
    <w:rsid w:val="001A6689"/>
    <w:rsid w:val="001B1042"/>
    <w:rsid w:val="001B177E"/>
    <w:rsid w:val="001B6D2A"/>
    <w:rsid w:val="001C2D3F"/>
    <w:rsid w:val="001C4674"/>
    <w:rsid w:val="001D0F54"/>
    <w:rsid w:val="001E0D43"/>
    <w:rsid w:val="001E433A"/>
    <w:rsid w:val="001E4A4D"/>
    <w:rsid w:val="001E5A67"/>
    <w:rsid w:val="001F0644"/>
    <w:rsid w:val="001F4865"/>
    <w:rsid w:val="0020782F"/>
    <w:rsid w:val="0022113D"/>
    <w:rsid w:val="00221287"/>
    <w:rsid w:val="00225D9C"/>
    <w:rsid w:val="00227496"/>
    <w:rsid w:val="002312A8"/>
    <w:rsid w:val="002464E5"/>
    <w:rsid w:val="002635DA"/>
    <w:rsid w:val="0026566D"/>
    <w:rsid w:val="00274F1C"/>
    <w:rsid w:val="00274F91"/>
    <w:rsid w:val="0028289F"/>
    <w:rsid w:val="0028602D"/>
    <w:rsid w:val="00291F07"/>
    <w:rsid w:val="00292FF4"/>
    <w:rsid w:val="00293B2D"/>
    <w:rsid w:val="00295760"/>
    <w:rsid w:val="00295A6A"/>
    <w:rsid w:val="00296257"/>
    <w:rsid w:val="002A351E"/>
    <w:rsid w:val="002C4871"/>
    <w:rsid w:val="002D1DE8"/>
    <w:rsid w:val="002D221C"/>
    <w:rsid w:val="002D38A0"/>
    <w:rsid w:val="002D4304"/>
    <w:rsid w:val="002D739E"/>
    <w:rsid w:val="002E5CF9"/>
    <w:rsid w:val="002E6DDB"/>
    <w:rsid w:val="002E7BBC"/>
    <w:rsid w:val="002F4539"/>
    <w:rsid w:val="0030113C"/>
    <w:rsid w:val="003056FC"/>
    <w:rsid w:val="003068E9"/>
    <w:rsid w:val="00307BA7"/>
    <w:rsid w:val="0031150C"/>
    <w:rsid w:val="00311F3E"/>
    <w:rsid w:val="00316F08"/>
    <w:rsid w:val="003231A1"/>
    <w:rsid w:val="0032384D"/>
    <w:rsid w:val="00323B71"/>
    <w:rsid w:val="00334792"/>
    <w:rsid w:val="003366F1"/>
    <w:rsid w:val="003374B3"/>
    <w:rsid w:val="00343A0C"/>
    <w:rsid w:val="003458C9"/>
    <w:rsid w:val="00347171"/>
    <w:rsid w:val="00347E7E"/>
    <w:rsid w:val="003511CC"/>
    <w:rsid w:val="00356B29"/>
    <w:rsid w:val="003632EF"/>
    <w:rsid w:val="00371378"/>
    <w:rsid w:val="00371550"/>
    <w:rsid w:val="0037582D"/>
    <w:rsid w:val="0038314E"/>
    <w:rsid w:val="003875B4"/>
    <w:rsid w:val="00391348"/>
    <w:rsid w:val="003B09F4"/>
    <w:rsid w:val="003B6DB6"/>
    <w:rsid w:val="003C1B51"/>
    <w:rsid w:val="003C656B"/>
    <w:rsid w:val="003D60C9"/>
    <w:rsid w:val="003D6EF3"/>
    <w:rsid w:val="003E0456"/>
    <w:rsid w:val="003E09CD"/>
    <w:rsid w:val="003E1F5D"/>
    <w:rsid w:val="003E2513"/>
    <w:rsid w:val="003E4D7D"/>
    <w:rsid w:val="003F4300"/>
    <w:rsid w:val="003F5918"/>
    <w:rsid w:val="003F74C4"/>
    <w:rsid w:val="003F79F3"/>
    <w:rsid w:val="0040104C"/>
    <w:rsid w:val="00405216"/>
    <w:rsid w:val="0041389F"/>
    <w:rsid w:val="00413BEC"/>
    <w:rsid w:val="00422FF5"/>
    <w:rsid w:val="0042433F"/>
    <w:rsid w:val="00427714"/>
    <w:rsid w:val="00435747"/>
    <w:rsid w:val="00444A2F"/>
    <w:rsid w:val="00444C59"/>
    <w:rsid w:val="00445994"/>
    <w:rsid w:val="004503B6"/>
    <w:rsid w:val="00450755"/>
    <w:rsid w:val="00457EC4"/>
    <w:rsid w:val="00462E1A"/>
    <w:rsid w:val="00472107"/>
    <w:rsid w:val="00472DA4"/>
    <w:rsid w:val="00475633"/>
    <w:rsid w:val="00481DF7"/>
    <w:rsid w:val="00484102"/>
    <w:rsid w:val="00485F50"/>
    <w:rsid w:val="00487C46"/>
    <w:rsid w:val="00492D60"/>
    <w:rsid w:val="00494169"/>
    <w:rsid w:val="00494FA9"/>
    <w:rsid w:val="004A426E"/>
    <w:rsid w:val="004A63E3"/>
    <w:rsid w:val="004B1F9F"/>
    <w:rsid w:val="004B432E"/>
    <w:rsid w:val="004C0636"/>
    <w:rsid w:val="004C27D6"/>
    <w:rsid w:val="004D05F4"/>
    <w:rsid w:val="004D33B2"/>
    <w:rsid w:val="004D402A"/>
    <w:rsid w:val="004D66B6"/>
    <w:rsid w:val="004D71BB"/>
    <w:rsid w:val="004D778B"/>
    <w:rsid w:val="004F13D7"/>
    <w:rsid w:val="004F2F3F"/>
    <w:rsid w:val="00501589"/>
    <w:rsid w:val="00506DBB"/>
    <w:rsid w:val="00510741"/>
    <w:rsid w:val="00524314"/>
    <w:rsid w:val="00526BDF"/>
    <w:rsid w:val="005279BC"/>
    <w:rsid w:val="0053381B"/>
    <w:rsid w:val="005339AB"/>
    <w:rsid w:val="005418A1"/>
    <w:rsid w:val="00541932"/>
    <w:rsid w:val="005460C6"/>
    <w:rsid w:val="00563402"/>
    <w:rsid w:val="00563767"/>
    <w:rsid w:val="00566859"/>
    <w:rsid w:val="00574FD6"/>
    <w:rsid w:val="00577246"/>
    <w:rsid w:val="00585983"/>
    <w:rsid w:val="00585BBC"/>
    <w:rsid w:val="00591865"/>
    <w:rsid w:val="005A26FF"/>
    <w:rsid w:val="005A38FC"/>
    <w:rsid w:val="005A3B5B"/>
    <w:rsid w:val="005B4FFB"/>
    <w:rsid w:val="005C1317"/>
    <w:rsid w:val="005C1717"/>
    <w:rsid w:val="005C347E"/>
    <w:rsid w:val="005C3F3E"/>
    <w:rsid w:val="005C518B"/>
    <w:rsid w:val="005C615C"/>
    <w:rsid w:val="005C6C88"/>
    <w:rsid w:val="005E0F79"/>
    <w:rsid w:val="005E3C50"/>
    <w:rsid w:val="0060258D"/>
    <w:rsid w:val="00604C8E"/>
    <w:rsid w:val="00621EF7"/>
    <w:rsid w:val="00632640"/>
    <w:rsid w:val="00634011"/>
    <w:rsid w:val="00636361"/>
    <w:rsid w:val="00641A2E"/>
    <w:rsid w:val="0064346F"/>
    <w:rsid w:val="00645DD9"/>
    <w:rsid w:val="006549C8"/>
    <w:rsid w:val="00656FE3"/>
    <w:rsid w:val="00663C52"/>
    <w:rsid w:val="00671F5D"/>
    <w:rsid w:val="0067478D"/>
    <w:rsid w:val="00674CB5"/>
    <w:rsid w:val="00677075"/>
    <w:rsid w:val="006862A9"/>
    <w:rsid w:val="00690855"/>
    <w:rsid w:val="00696E9D"/>
    <w:rsid w:val="006A0DA5"/>
    <w:rsid w:val="006A57B8"/>
    <w:rsid w:val="006A6263"/>
    <w:rsid w:val="006B3326"/>
    <w:rsid w:val="006C1B62"/>
    <w:rsid w:val="006C72DA"/>
    <w:rsid w:val="006D0C88"/>
    <w:rsid w:val="006D7CE8"/>
    <w:rsid w:val="006E2276"/>
    <w:rsid w:val="006F374E"/>
    <w:rsid w:val="006F6ED7"/>
    <w:rsid w:val="0070195E"/>
    <w:rsid w:val="007210F5"/>
    <w:rsid w:val="00727CD0"/>
    <w:rsid w:val="00730A79"/>
    <w:rsid w:val="0073499D"/>
    <w:rsid w:val="007420BB"/>
    <w:rsid w:val="0074216E"/>
    <w:rsid w:val="00742C2C"/>
    <w:rsid w:val="00762836"/>
    <w:rsid w:val="00763EC3"/>
    <w:rsid w:val="00764405"/>
    <w:rsid w:val="00792FF6"/>
    <w:rsid w:val="00793F68"/>
    <w:rsid w:val="00794147"/>
    <w:rsid w:val="007956F4"/>
    <w:rsid w:val="007A7C7F"/>
    <w:rsid w:val="007B1514"/>
    <w:rsid w:val="007B7737"/>
    <w:rsid w:val="007C7A09"/>
    <w:rsid w:val="007E2B84"/>
    <w:rsid w:val="007E2E33"/>
    <w:rsid w:val="007E432A"/>
    <w:rsid w:val="007F09CD"/>
    <w:rsid w:val="007F34A5"/>
    <w:rsid w:val="007F39EB"/>
    <w:rsid w:val="007F5A72"/>
    <w:rsid w:val="008040DE"/>
    <w:rsid w:val="00807208"/>
    <w:rsid w:val="00827D4C"/>
    <w:rsid w:val="00844C74"/>
    <w:rsid w:val="00852FB4"/>
    <w:rsid w:val="00864580"/>
    <w:rsid w:val="0087534B"/>
    <w:rsid w:val="008758F1"/>
    <w:rsid w:val="00881264"/>
    <w:rsid w:val="00891B4B"/>
    <w:rsid w:val="00896251"/>
    <w:rsid w:val="008A4F1E"/>
    <w:rsid w:val="008A5656"/>
    <w:rsid w:val="008A6489"/>
    <w:rsid w:val="008B592B"/>
    <w:rsid w:val="008B5981"/>
    <w:rsid w:val="008C0B0E"/>
    <w:rsid w:val="008C2961"/>
    <w:rsid w:val="008C4AE1"/>
    <w:rsid w:val="008C5A24"/>
    <w:rsid w:val="008C5D0C"/>
    <w:rsid w:val="008E289B"/>
    <w:rsid w:val="008F1093"/>
    <w:rsid w:val="00916769"/>
    <w:rsid w:val="00916D7E"/>
    <w:rsid w:val="00921251"/>
    <w:rsid w:val="0093068E"/>
    <w:rsid w:val="00941FED"/>
    <w:rsid w:val="00942E4D"/>
    <w:rsid w:val="00943E0D"/>
    <w:rsid w:val="00952F35"/>
    <w:rsid w:val="00960AEE"/>
    <w:rsid w:val="00964705"/>
    <w:rsid w:val="0096491F"/>
    <w:rsid w:val="00964E02"/>
    <w:rsid w:val="00967412"/>
    <w:rsid w:val="00976D0A"/>
    <w:rsid w:val="00982058"/>
    <w:rsid w:val="00982345"/>
    <w:rsid w:val="00992BC1"/>
    <w:rsid w:val="009949C9"/>
    <w:rsid w:val="00996C0D"/>
    <w:rsid w:val="00996E5D"/>
    <w:rsid w:val="009A4140"/>
    <w:rsid w:val="009B4693"/>
    <w:rsid w:val="009B514C"/>
    <w:rsid w:val="009C4FC5"/>
    <w:rsid w:val="009D07E4"/>
    <w:rsid w:val="009E1B08"/>
    <w:rsid w:val="009F191B"/>
    <w:rsid w:val="00A15789"/>
    <w:rsid w:val="00A17749"/>
    <w:rsid w:val="00A17DCB"/>
    <w:rsid w:val="00A24D74"/>
    <w:rsid w:val="00A312EB"/>
    <w:rsid w:val="00A32846"/>
    <w:rsid w:val="00A32A08"/>
    <w:rsid w:val="00A3357A"/>
    <w:rsid w:val="00A37466"/>
    <w:rsid w:val="00A506EC"/>
    <w:rsid w:val="00A50CF4"/>
    <w:rsid w:val="00A54F9C"/>
    <w:rsid w:val="00A57175"/>
    <w:rsid w:val="00A61097"/>
    <w:rsid w:val="00A70F95"/>
    <w:rsid w:val="00A74D98"/>
    <w:rsid w:val="00A769DF"/>
    <w:rsid w:val="00A879DB"/>
    <w:rsid w:val="00A935F5"/>
    <w:rsid w:val="00AA3BAC"/>
    <w:rsid w:val="00AB1A84"/>
    <w:rsid w:val="00AB3043"/>
    <w:rsid w:val="00AB6537"/>
    <w:rsid w:val="00AB69C2"/>
    <w:rsid w:val="00AC2372"/>
    <w:rsid w:val="00AC6416"/>
    <w:rsid w:val="00AD153A"/>
    <w:rsid w:val="00AD190A"/>
    <w:rsid w:val="00AD2E92"/>
    <w:rsid w:val="00AE4F20"/>
    <w:rsid w:val="00B06899"/>
    <w:rsid w:val="00B12054"/>
    <w:rsid w:val="00B15A7A"/>
    <w:rsid w:val="00B16B31"/>
    <w:rsid w:val="00B16CD7"/>
    <w:rsid w:val="00B2332D"/>
    <w:rsid w:val="00B269D9"/>
    <w:rsid w:val="00B35F85"/>
    <w:rsid w:val="00B464B2"/>
    <w:rsid w:val="00B55FC5"/>
    <w:rsid w:val="00B7790F"/>
    <w:rsid w:val="00B81BA5"/>
    <w:rsid w:val="00B86E6C"/>
    <w:rsid w:val="00B914DC"/>
    <w:rsid w:val="00B93331"/>
    <w:rsid w:val="00BA2349"/>
    <w:rsid w:val="00BA5270"/>
    <w:rsid w:val="00BC1FB5"/>
    <w:rsid w:val="00BC312E"/>
    <w:rsid w:val="00BC7516"/>
    <w:rsid w:val="00BD088B"/>
    <w:rsid w:val="00BD1C4C"/>
    <w:rsid w:val="00BD4B33"/>
    <w:rsid w:val="00BD57AB"/>
    <w:rsid w:val="00BD69D7"/>
    <w:rsid w:val="00BD6FA5"/>
    <w:rsid w:val="00BE1D72"/>
    <w:rsid w:val="00BF0586"/>
    <w:rsid w:val="00BF1C1A"/>
    <w:rsid w:val="00C0361B"/>
    <w:rsid w:val="00C0641A"/>
    <w:rsid w:val="00C15162"/>
    <w:rsid w:val="00C22625"/>
    <w:rsid w:val="00C31F94"/>
    <w:rsid w:val="00C34C13"/>
    <w:rsid w:val="00C47156"/>
    <w:rsid w:val="00C53181"/>
    <w:rsid w:val="00C63D83"/>
    <w:rsid w:val="00C658B6"/>
    <w:rsid w:val="00C727BA"/>
    <w:rsid w:val="00C86E35"/>
    <w:rsid w:val="00C962B6"/>
    <w:rsid w:val="00C97BD4"/>
    <w:rsid w:val="00CA638F"/>
    <w:rsid w:val="00CC0C0D"/>
    <w:rsid w:val="00CE14DA"/>
    <w:rsid w:val="00CE2059"/>
    <w:rsid w:val="00CE4E86"/>
    <w:rsid w:val="00CF2E6F"/>
    <w:rsid w:val="00D0748A"/>
    <w:rsid w:val="00D2107C"/>
    <w:rsid w:val="00D210A4"/>
    <w:rsid w:val="00D274DB"/>
    <w:rsid w:val="00D30D04"/>
    <w:rsid w:val="00D330C1"/>
    <w:rsid w:val="00D36C47"/>
    <w:rsid w:val="00D43021"/>
    <w:rsid w:val="00D4455C"/>
    <w:rsid w:val="00D5108F"/>
    <w:rsid w:val="00D51344"/>
    <w:rsid w:val="00D609D5"/>
    <w:rsid w:val="00D770EB"/>
    <w:rsid w:val="00D81003"/>
    <w:rsid w:val="00D84237"/>
    <w:rsid w:val="00D93CFF"/>
    <w:rsid w:val="00DB0514"/>
    <w:rsid w:val="00DB1F87"/>
    <w:rsid w:val="00DB24EC"/>
    <w:rsid w:val="00DB2E7A"/>
    <w:rsid w:val="00DB4626"/>
    <w:rsid w:val="00DB737F"/>
    <w:rsid w:val="00DC4094"/>
    <w:rsid w:val="00DC50A1"/>
    <w:rsid w:val="00DC5392"/>
    <w:rsid w:val="00DC539A"/>
    <w:rsid w:val="00DE7D75"/>
    <w:rsid w:val="00DF159D"/>
    <w:rsid w:val="00DF3176"/>
    <w:rsid w:val="00DF6642"/>
    <w:rsid w:val="00E00316"/>
    <w:rsid w:val="00E0238D"/>
    <w:rsid w:val="00E12E59"/>
    <w:rsid w:val="00E1560A"/>
    <w:rsid w:val="00E21B52"/>
    <w:rsid w:val="00E246F9"/>
    <w:rsid w:val="00E25EB8"/>
    <w:rsid w:val="00E27BDA"/>
    <w:rsid w:val="00E30773"/>
    <w:rsid w:val="00E30794"/>
    <w:rsid w:val="00E40A3B"/>
    <w:rsid w:val="00E55080"/>
    <w:rsid w:val="00E627BD"/>
    <w:rsid w:val="00E6475B"/>
    <w:rsid w:val="00E65FFE"/>
    <w:rsid w:val="00E66B41"/>
    <w:rsid w:val="00E704E2"/>
    <w:rsid w:val="00E707C6"/>
    <w:rsid w:val="00E73986"/>
    <w:rsid w:val="00E81715"/>
    <w:rsid w:val="00E83263"/>
    <w:rsid w:val="00E83BF2"/>
    <w:rsid w:val="00E84FDF"/>
    <w:rsid w:val="00E86090"/>
    <w:rsid w:val="00E86F76"/>
    <w:rsid w:val="00E9542A"/>
    <w:rsid w:val="00E9750E"/>
    <w:rsid w:val="00EA252E"/>
    <w:rsid w:val="00EB6DC8"/>
    <w:rsid w:val="00EC1837"/>
    <w:rsid w:val="00EC2BAF"/>
    <w:rsid w:val="00EC3579"/>
    <w:rsid w:val="00EC58BF"/>
    <w:rsid w:val="00ED4C16"/>
    <w:rsid w:val="00ED6D5D"/>
    <w:rsid w:val="00EE3BDA"/>
    <w:rsid w:val="00EE3CD6"/>
    <w:rsid w:val="00EE4039"/>
    <w:rsid w:val="00EE4FAD"/>
    <w:rsid w:val="00EE5949"/>
    <w:rsid w:val="00EE790E"/>
    <w:rsid w:val="00EF5E49"/>
    <w:rsid w:val="00F05EA9"/>
    <w:rsid w:val="00F11D72"/>
    <w:rsid w:val="00F22343"/>
    <w:rsid w:val="00F239CE"/>
    <w:rsid w:val="00F245DD"/>
    <w:rsid w:val="00F3700D"/>
    <w:rsid w:val="00F40E8E"/>
    <w:rsid w:val="00F42F9B"/>
    <w:rsid w:val="00F532D3"/>
    <w:rsid w:val="00F533A7"/>
    <w:rsid w:val="00F60B73"/>
    <w:rsid w:val="00F6229E"/>
    <w:rsid w:val="00F6496D"/>
    <w:rsid w:val="00F66037"/>
    <w:rsid w:val="00F66A9B"/>
    <w:rsid w:val="00F70703"/>
    <w:rsid w:val="00F717DE"/>
    <w:rsid w:val="00F71C54"/>
    <w:rsid w:val="00F71EC3"/>
    <w:rsid w:val="00F72F94"/>
    <w:rsid w:val="00F73F4D"/>
    <w:rsid w:val="00F83BC3"/>
    <w:rsid w:val="00F94794"/>
    <w:rsid w:val="00FA24D0"/>
    <w:rsid w:val="00FA2B5B"/>
    <w:rsid w:val="00FA30AC"/>
    <w:rsid w:val="00FA7295"/>
    <w:rsid w:val="00FC3996"/>
    <w:rsid w:val="00FC4915"/>
    <w:rsid w:val="00FD62D7"/>
    <w:rsid w:val="00FD6C5A"/>
    <w:rsid w:val="00FE2B5E"/>
    <w:rsid w:val="00FE59E9"/>
    <w:rsid w:val="00FF0C00"/>
    <w:rsid w:val="00FF73D3"/>
    <w:rsid w:val="018799B5"/>
    <w:rsid w:val="05346B1C"/>
    <w:rsid w:val="0C1B5567"/>
    <w:rsid w:val="1082E91D"/>
    <w:rsid w:val="1CCDF6AF"/>
    <w:rsid w:val="1CED830D"/>
    <w:rsid w:val="1F78EDB9"/>
    <w:rsid w:val="32047458"/>
    <w:rsid w:val="3877935C"/>
    <w:rsid w:val="61172455"/>
    <w:rsid w:val="681D871B"/>
    <w:rsid w:val="7ADFA4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Kopfzeile">
    <w:name w:val="header"/>
    <w:basedOn w:val="Standard"/>
    <w:link w:val="KopfzeileZchn"/>
    <w:uiPriority w:val="99"/>
    <w:semiHidden/>
    <w:unhideWhenUsed/>
    <w:rsid w:val="00D330C1"/>
    <w:pPr>
      <w:tabs>
        <w:tab w:val="center" w:pos="4536"/>
        <w:tab w:val="right" w:pos="9072"/>
      </w:tabs>
    </w:pPr>
  </w:style>
  <w:style w:type="character" w:customStyle="1" w:styleId="KopfzeileZchn">
    <w:name w:val="Kopfzeile Zchn"/>
    <w:basedOn w:val="Absatz-Standardschriftart"/>
    <w:link w:val="Kopfzeile"/>
    <w:uiPriority w:val="99"/>
    <w:semiHidden/>
    <w:rsid w:val="00D330C1"/>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es/es/company/pres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lum.com/es/e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Franz Ha</DisplayName>
        <AccountId>84</AccountId>
        <AccountType/>
      </UserInfo>
      <UserInfo>
        <DisplayName>Heiko Eberhart</DisplayName>
        <AccountId>51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EC04B-44E5-4F38-BB11-0A46CA1A9BFD}">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4772dd7f-e84b-4eb8-8e2d-3d5b44201ffb"/>
    <ds:schemaRef ds:uri="9ecb0b22-5505-4233-bec7-5136d9212e90"/>
    <ds:schemaRef ds:uri="http://purl.org/dc/dcmitype/"/>
  </ds:schemaRefs>
</ds:datastoreItem>
</file>

<file path=customXml/itemProps2.xml><?xml version="1.0" encoding="utf-8"?>
<ds:datastoreItem xmlns:ds="http://schemas.openxmlformats.org/officeDocument/2006/customXml" ds:itemID="{97313DF6-2432-4C1E-B243-14CDF94B5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3837</Characters>
  <Application>Microsoft Office Word</Application>
  <DocSecurity>0</DocSecurity>
  <Lines>31</Lines>
  <Paragraphs>8</Paragraphs>
  <ScaleCrop>false</ScaleCrop>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Elisabeth Immler</cp:lastModifiedBy>
  <cp:revision>375</cp:revision>
  <cp:lastPrinted>2019-02-22T10:47:00Z</cp:lastPrinted>
  <dcterms:created xsi:type="dcterms:W3CDTF">2019-02-27T15:27:00Z</dcterms:created>
  <dcterms:modified xsi:type="dcterms:W3CDTF">2019-04-29T08:23:00Z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5120">
    <vt:lpwstr>34</vt:lpwstr>
  </property>
  <property fmtid="{D5CDD505-2E9C-101B-9397-08002B2CF9AE}" pid="10" name="AuthorIds_UIVersion_2560">
    <vt:lpwstr>34</vt:lpwstr>
  </property>
  <property fmtid="{D5CDD505-2E9C-101B-9397-08002B2CF9AE}" pid="11" name="AuthorIds_UIVersion_4608">
    <vt:lpwstr>34</vt:lpwstr>
  </property>
</Properties>
</file>